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23FD5" w:rsidRDefault="00123FD5" w:rsidP="00123FD5">
      <w:pPr>
        <w:spacing w:line="240" w:lineRule="auto"/>
        <w:ind w:left="0" w:right="0" w:firstLine="0"/>
      </w:pPr>
    </w:p>
    <w:p w:rsidR="00123FD5" w:rsidRDefault="00123FD5" w:rsidP="00123FD5">
      <w:pPr>
        <w:spacing w:line="240" w:lineRule="auto"/>
        <w:ind w:left="0" w:right="0" w:firstLine="0"/>
        <w:jc w:val="center"/>
      </w:pPr>
    </w:p>
    <w:p w:rsidR="00123FD5" w:rsidRPr="00123FD5" w:rsidRDefault="00123FD5" w:rsidP="00123FD5">
      <w:pPr>
        <w:spacing w:line="240" w:lineRule="auto"/>
        <w:ind w:left="0" w:right="0" w:firstLine="0"/>
        <w:jc w:val="center"/>
        <w:rPr>
          <w:rFonts w:ascii="Trebuchet MS" w:hAnsi="Trebuchet MS"/>
          <w:b/>
          <w:color w:val="auto"/>
          <w:sz w:val="22"/>
        </w:rPr>
      </w:pPr>
      <w:r w:rsidRPr="00123FD5">
        <w:rPr>
          <w:rFonts w:ascii="Trebuchet MS" w:hAnsi="Trebuchet MS"/>
          <w:b/>
          <w:color w:val="auto"/>
          <w:sz w:val="22"/>
        </w:rPr>
        <w:t xml:space="preserve">Gruppo “Borgo </w:t>
      </w:r>
      <w:proofErr w:type="spellStart"/>
      <w:proofErr w:type="gramStart"/>
      <w:r w:rsidRPr="00123FD5">
        <w:rPr>
          <w:rFonts w:ascii="Trebuchet MS" w:hAnsi="Trebuchet MS"/>
          <w:b/>
          <w:color w:val="auto"/>
          <w:sz w:val="22"/>
        </w:rPr>
        <w:t>S.Nicola</w:t>
      </w:r>
      <w:proofErr w:type="spellEnd"/>
      <w:proofErr w:type="gramEnd"/>
      <w:r w:rsidRPr="00123FD5">
        <w:rPr>
          <w:rFonts w:ascii="Trebuchet MS" w:hAnsi="Trebuchet MS"/>
          <w:b/>
          <w:color w:val="auto"/>
          <w:sz w:val="22"/>
        </w:rPr>
        <w:t>”</w:t>
      </w:r>
    </w:p>
    <w:p w:rsidR="00123FD5" w:rsidRPr="00123FD5" w:rsidRDefault="00123FD5" w:rsidP="00123FD5">
      <w:pPr>
        <w:spacing w:line="240" w:lineRule="auto"/>
        <w:ind w:left="0" w:right="0" w:firstLine="0"/>
        <w:jc w:val="center"/>
        <w:rPr>
          <w:rFonts w:ascii="Trebuchet MS" w:hAnsi="Trebuchet MS"/>
          <w:b/>
          <w:color w:val="auto"/>
          <w:sz w:val="22"/>
        </w:rPr>
      </w:pPr>
      <w:r w:rsidRPr="00123FD5">
        <w:rPr>
          <w:rFonts w:ascii="Trebuchet MS" w:hAnsi="Trebuchet MS"/>
          <w:b/>
          <w:color w:val="auto"/>
          <w:sz w:val="22"/>
        </w:rPr>
        <w:t>Programma lavori</w:t>
      </w:r>
    </w:p>
    <w:p w:rsidR="0050790C" w:rsidRDefault="0050790C" w:rsidP="00123FD5">
      <w:pPr>
        <w:spacing w:line="240" w:lineRule="auto"/>
        <w:ind w:left="0" w:right="0" w:firstLine="0"/>
        <w:jc w:val="center"/>
        <w:rPr>
          <w:rFonts w:ascii="Trebuchet MS" w:hAnsi="Trebuchet MS"/>
          <w:b/>
          <w:color w:val="auto"/>
          <w:sz w:val="22"/>
        </w:rPr>
      </w:pPr>
      <w:r>
        <w:rPr>
          <w:rFonts w:ascii="Trebuchet MS" w:hAnsi="Trebuchet MS"/>
          <w:b/>
          <w:color w:val="auto"/>
          <w:sz w:val="22"/>
        </w:rPr>
        <w:t>11-15 novembre 2014</w:t>
      </w:r>
    </w:p>
    <w:p w:rsidR="00123FD5" w:rsidRPr="00123FD5" w:rsidRDefault="00123FD5" w:rsidP="00123FD5">
      <w:pPr>
        <w:spacing w:line="240" w:lineRule="auto"/>
        <w:ind w:left="0" w:right="0" w:firstLine="0"/>
        <w:jc w:val="center"/>
        <w:rPr>
          <w:rFonts w:ascii="Trebuchet MS" w:hAnsi="Trebuchet MS"/>
          <w:b/>
          <w:color w:val="auto"/>
          <w:sz w:val="22"/>
        </w:rPr>
      </w:pPr>
    </w:p>
    <w:p w:rsidR="00CB2B87" w:rsidRDefault="00123FD5" w:rsidP="00123FD5">
      <w:pPr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  <w:r w:rsidRPr="00123FD5">
        <w:rPr>
          <w:rFonts w:ascii="Trebuchet MS" w:hAnsi="Trebuchet MS"/>
          <w:color w:val="auto"/>
          <w:sz w:val="22"/>
        </w:rPr>
        <w:t xml:space="preserve">In questa edizione del WS gli ambiti </w:t>
      </w:r>
      <w:proofErr w:type="gramStart"/>
      <w:r w:rsidRPr="00123FD5">
        <w:rPr>
          <w:rFonts w:ascii="Trebuchet MS" w:hAnsi="Trebuchet MS"/>
          <w:color w:val="auto"/>
          <w:sz w:val="22"/>
        </w:rPr>
        <w:t xml:space="preserve">di </w:t>
      </w:r>
      <w:proofErr w:type="gramEnd"/>
      <w:r w:rsidRPr="00123FD5">
        <w:rPr>
          <w:rFonts w:ascii="Trebuchet MS" w:hAnsi="Trebuchet MS"/>
          <w:color w:val="auto"/>
          <w:sz w:val="22"/>
        </w:rPr>
        <w:t>indagine e lavoro sul campo saranno tre.</w:t>
      </w:r>
      <w:r w:rsidR="00CB2B87">
        <w:rPr>
          <w:rFonts w:ascii="Trebuchet MS" w:hAnsi="Trebuchet MS"/>
          <w:color w:val="auto"/>
          <w:sz w:val="22"/>
        </w:rPr>
        <w:t xml:space="preserve"> I partecipanti potranno scegliere a quale sottogruppo partecipare.</w:t>
      </w:r>
    </w:p>
    <w:p w:rsidR="00123FD5" w:rsidRPr="00123FD5" w:rsidRDefault="00123FD5" w:rsidP="00123FD5">
      <w:pPr>
        <w:spacing w:line="240" w:lineRule="auto"/>
        <w:ind w:left="0" w:right="0" w:firstLine="0"/>
        <w:jc w:val="both"/>
        <w:rPr>
          <w:rFonts w:ascii="Trebuchet MS" w:hAnsi="Trebuchet MS"/>
          <w:b/>
          <w:color w:val="auto"/>
          <w:sz w:val="22"/>
        </w:rPr>
      </w:pPr>
    </w:p>
    <w:p w:rsidR="00391D05" w:rsidRDefault="00123FD5" w:rsidP="00123FD5">
      <w:pPr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  <w:proofErr w:type="gramStart"/>
      <w:r w:rsidRPr="00123FD5">
        <w:rPr>
          <w:rFonts w:ascii="Trebuchet MS" w:hAnsi="Trebuchet MS"/>
          <w:b/>
          <w:color w:val="auto"/>
          <w:sz w:val="22"/>
        </w:rPr>
        <w:t>1 Il contributo del gruppo alla redazione di un Documento Programmatico per la rigenerazione urbana di Lecce</w:t>
      </w:r>
      <w:proofErr w:type="gramEnd"/>
      <w:r w:rsidRPr="00123FD5">
        <w:rPr>
          <w:rFonts w:ascii="Trebuchet MS" w:hAnsi="Trebuchet MS"/>
          <w:b/>
          <w:color w:val="auto"/>
          <w:sz w:val="22"/>
        </w:rPr>
        <w:t xml:space="preserve">. </w:t>
      </w:r>
      <w:r w:rsidRPr="00123FD5">
        <w:rPr>
          <w:rFonts w:ascii="Trebuchet MS" w:hAnsi="Trebuchet MS"/>
          <w:color w:val="auto"/>
          <w:sz w:val="22"/>
        </w:rPr>
        <w:t>Il lavoro parte dalle schede presentate come sintesi dei risultati delle precedenti ediz</w:t>
      </w:r>
      <w:r w:rsidR="007F0199">
        <w:rPr>
          <w:rFonts w:ascii="Trebuchet MS" w:hAnsi="Trebuchet MS"/>
          <w:color w:val="auto"/>
          <w:sz w:val="22"/>
        </w:rPr>
        <w:t xml:space="preserve">ioni. La cava che caratterizza </w:t>
      </w:r>
      <w:r w:rsidRPr="00123FD5">
        <w:rPr>
          <w:rFonts w:ascii="Trebuchet MS" w:hAnsi="Trebuchet MS"/>
          <w:color w:val="auto"/>
          <w:sz w:val="22"/>
        </w:rPr>
        <w:t xml:space="preserve">e </w:t>
      </w:r>
      <w:proofErr w:type="gramStart"/>
      <w:r w:rsidRPr="00123FD5">
        <w:rPr>
          <w:rFonts w:ascii="Trebuchet MS" w:hAnsi="Trebuchet MS"/>
          <w:color w:val="auto"/>
          <w:sz w:val="22"/>
        </w:rPr>
        <w:t>dà</w:t>
      </w:r>
      <w:proofErr w:type="gramEnd"/>
      <w:r w:rsidRPr="00123FD5">
        <w:rPr>
          <w:rFonts w:ascii="Trebuchet MS" w:hAnsi="Trebuchet MS"/>
          <w:color w:val="auto"/>
          <w:sz w:val="22"/>
        </w:rPr>
        <w:t xml:space="preserve"> il nome al gruppo è di proprietà privata. A meno di una forte scelta strategica del comune rimane quindi esclusa da un possibile programma </w:t>
      </w:r>
      <w:proofErr w:type="gramStart"/>
      <w:r w:rsidRPr="00123FD5">
        <w:rPr>
          <w:rFonts w:ascii="Trebuchet MS" w:hAnsi="Trebuchet MS"/>
          <w:color w:val="auto"/>
          <w:sz w:val="22"/>
        </w:rPr>
        <w:t xml:space="preserve">di </w:t>
      </w:r>
      <w:proofErr w:type="gramEnd"/>
      <w:r w:rsidRPr="00123FD5">
        <w:rPr>
          <w:rFonts w:ascii="Trebuchet MS" w:hAnsi="Trebuchet MS"/>
          <w:color w:val="auto"/>
          <w:sz w:val="22"/>
        </w:rPr>
        <w:t xml:space="preserve">interventi concreti.  </w:t>
      </w:r>
      <w:r>
        <w:rPr>
          <w:rFonts w:ascii="Trebuchet MS" w:hAnsi="Trebuchet MS"/>
          <w:color w:val="auto"/>
          <w:sz w:val="22"/>
        </w:rPr>
        <w:t xml:space="preserve">Rimane centrale invece, per significato politico e per coerenza al taglio etico del </w:t>
      </w:r>
      <w:proofErr w:type="spellStart"/>
      <w:r>
        <w:rPr>
          <w:rFonts w:ascii="Trebuchet MS" w:hAnsi="Trebuchet MS"/>
          <w:color w:val="auto"/>
          <w:sz w:val="22"/>
        </w:rPr>
        <w:t>ws</w:t>
      </w:r>
      <w:proofErr w:type="spellEnd"/>
      <w:r>
        <w:rPr>
          <w:rFonts w:ascii="Trebuchet MS" w:hAnsi="Trebuchet MS"/>
          <w:color w:val="auto"/>
          <w:sz w:val="22"/>
        </w:rPr>
        <w:t xml:space="preserve">, il tema dell’abitare e della riqualificazione degli alloggi </w:t>
      </w:r>
      <w:proofErr w:type="gramStart"/>
      <w:r>
        <w:rPr>
          <w:rFonts w:ascii="Trebuchet MS" w:hAnsi="Trebuchet MS"/>
          <w:color w:val="auto"/>
          <w:sz w:val="22"/>
        </w:rPr>
        <w:t>di</w:t>
      </w:r>
      <w:proofErr w:type="gramEnd"/>
      <w:r>
        <w:rPr>
          <w:rFonts w:ascii="Trebuchet MS" w:hAnsi="Trebuchet MS"/>
          <w:color w:val="auto"/>
          <w:sz w:val="22"/>
        </w:rPr>
        <w:t xml:space="preserve"> edilizia sociale esistenti. </w:t>
      </w:r>
      <w:proofErr w:type="gramStart"/>
      <w:r>
        <w:rPr>
          <w:rFonts w:ascii="Trebuchet MS" w:hAnsi="Trebuchet MS"/>
          <w:color w:val="auto"/>
          <w:sz w:val="22"/>
        </w:rPr>
        <w:t>Tanto centrale da suggerire un unico e coraggioso intervento da inserire nel DPP: la riqualificazione del fabbricato di ERP condivisa e gest</w:t>
      </w:r>
      <w:proofErr w:type="gramEnd"/>
      <w:r>
        <w:rPr>
          <w:rFonts w:ascii="Trebuchet MS" w:hAnsi="Trebuchet MS"/>
          <w:color w:val="auto"/>
          <w:sz w:val="22"/>
        </w:rPr>
        <w:t xml:space="preserve">ita con i residenti. A questo grande tema si potrebbe associare quello non scindibile della riqualificazione degli spazi </w:t>
      </w:r>
      <w:proofErr w:type="gramStart"/>
      <w:r>
        <w:rPr>
          <w:rFonts w:ascii="Trebuchet MS" w:hAnsi="Trebuchet MS"/>
          <w:color w:val="auto"/>
          <w:sz w:val="22"/>
        </w:rPr>
        <w:t>di</w:t>
      </w:r>
      <w:proofErr w:type="gramEnd"/>
      <w:r>
        <w:rPr>
          <w:rFonts w:ascii="Trebuchet MS" w:hAnsi="Trebuchet MS"/>
          <w:color w:val="auto"/>
          <w:sz w:val="22"/>
        </w:rPr>
        <w:t xml:space="preserve"> proprietà pubblica del borgo. </w:t>
      </w:r>
      <w:r w:rsidR="00391D05">
        <w:rPr>
          <w:rFonts w:ascii="Trebuchet MS" w:hAnsi="Trebuchet MS"/>
          <w:color w:val="auto"/>
          <w:sz w:val="22"/>
        </w:rPr>
        <w:t xml:space="preserve">Con una strategia precisa di realizzazione: il DPP dovrebbe prevedere come complementare all’intervento sulle abitazioni un bando per piccoli progetti e azioni immateriali di rigenerazione da affidare a singoli, associazioni, gruppi di residenti per la messa a valore degli spazi a servizi e la loro gestione, per il finanziamento di azioni di animazione territoriale, per la realizzazione di piccoli elementi di arredo urbano, </w:t>
      </w:r>
      <w:proofErr w:type="gramStart"/>
      <w:r w:rsidR="00391D05">
        <w:rPr>
          <w:rFonts w:ascii="Trebuchet MS" w:hAnsi="Trebuchet MS"/>
          <w:color w:val="auto"/>
          <w:sz w:val="22"/>
        </w:rPr>
        <w:t xml:space="preserve">di </w:t>
      </w:r>
      <w:proofErr w:type="gramEnd"/>
      <w:r w:rsidR="00391D05">
        <w:rPr>
          <w:rFonts w:ascii="Trebuchet MS" w:hAnsi="Trebuchet MS"/>
          <w:color w:val="auto"/>
          <w:sz w:val="22"/>
        </w:rPr>
        <w:t xml:space="preserve">interventi di pulizia e </w:t>
      </w:r>
      <w:proofErr w:type="spellStart"/>
      <w:r w:rsidR="00391D05">
        <w:rPr>
          <w:rFonts w:ascii="Trebuchet MS" w:hAnsi="Trebuchet MS"/>
          <w:color w:val="auto"/>
          <w:sz w:val="22"/>
        </w:rPr>
        <w:t>rifunzionalizzazione</w:t>
      </w:r>
      <w:proofErr w:type="spellEnd"/>
      <w:r w:rsidR="00391D05">
        <w:rPr>
          <w:rFonts w:ascii="Trebuchet MS" w:hAnsi="Trebuchet MS"/>
          <w:color w:val="auto"/>
          <w:sz w:val="22"/>
        </w:rPr>
        <w:t xml:space="preserve"> delle aree.</w:t>
      </w:r>
      <w:r w:rsidR="00B0245A">
        <w:rPr>
          <w:rFonts w:ascii="Trebuchet MS" w:hAnsi="Trebuchet MS"/>
          <w:color w:val="auto"/>
          <w:sz w:val="22"/>
        </w:rPr>
        <w:t xml:space="preserve"> Tutto questo apre </w:t>
      </w:r>
      <w:proofErr w:type="gramStart"/>
      <w:r w:rsidR="00B0245A">
        <w:rPr>
          <w:rFonts w:ascii="Trebuchet MS" w:hAnsi="Trebuchet MS"/>
          <w:color w:val="auto"/>
          <w:sz w:val="22"/>
        </w:rPr>
        <w:t>ad</w:t>
      </w:r>
      <w:proofErr w:type="gramEnd"/>
      <w:r w:rsidR="00B0245A">
        <w:rPr>
          <w:rFonts w:ascii="Trebuchet MS" w:hAnsi="Trebuchet MS"/>
          <w:color w:val="auto"/>
          <w:sz w:val="22"/>
        </w:rPr>
        <w:t xml:space="preserve"> un confronto mirato sull’importanza delle azioni immateriali nei programmi di rigenerazione urbana. </w:t>
      </w:r>
    </w:p>
    <w:p w:rsidR="00391D05" w:rsidRDefault="00391D05" w:rsidP="00123FD5">
      <w:pPr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  <w:r>
        <w:rPr>
          <w:rFonts w:ascii="Trebuchet MS" w:hAnsi="Trebuchet MS"/>
          <w:color w:val="auto"/>
          <w:sz w:val="22"/>
        </w:rPr>
        <w:t>ALLEGATI</w:t>
      </w:r>
      <w:proofErr w:type="gramStart"/>
      <w:r>
        <w:rPr>
          <w:rFonts w:ascii="Trebuchet MS" w:hAnsi="Trebuchet MS"/>
          <w:color w:val="auto"/>
          <w:sz w:val="22"/>
        </w:rPr>
        <w:t xml:space="preserve"> :</w:t>
      </w:r>
      <w:proofErr w:type="gramEnd"/>
      <w:r>
        <w:rPr>
          <w:rFonts w:ascii="Trebuchet MS" w:hAnsi="Trebuchet MS"/>
          <w:color w:val="auto"/>
          <w:sz w:val="22"/>
        </w:rPr>
        <w:t xml:space="preserve"> 3 schede di meta progetti per il DPP</w:t>
      </w:r>
    </w:p>
    <w:p w:rsidR="00391D05" w:rsidRDefault="00391D05" w:rsidP="00123FD5">
      <w:pPr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</w:p>
    <w:p w:rsidR="00123FD5" w:rsidRPr="00123FD5" w:rsidRDefault="00391D05" w:rsidP="00123FD5">
      <w:pPr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  <w:r>
        <w:rPr>
          <w:rFonts w:ascii="Trebuchet MS" w:hAnsi="Trebuchet MS"/>
          <w:color w:val="auto"/>
          <w:sz w:val="22"/>
        </w:rPr>
        <w:t xml:space="preserve">2. </w:t>
      </w:r>
      <w:r w:rsidR="00CB2B87" w:rsidRPr="00CB2B87">
        <w:rPr>
          <w:rFonts w:ascii="Trebuchet MS" w:hAnsi="Trebuchet MS"/>
          <w:b/>
          <w:color w:val="auto"/>
          <w:sz w:val="22"/>
        </w:rPr>
        <w:t>La relazione con il borgo.</w:t>
      </w:r>
      <w:r w:rsidR="00CB2B87">
        <w:rPr>
          <w:rFonts w:ascii="Trebuchet MS" w:hAnsi="Trebuchet MS"/>
          <w:color w:val="auto"/>
          <w:sz w:val="22"/>
        </w:rPr>
        <w:t xml:space="preserve"> In questa edizione avremo come ospiti alcuni </w:t>
      </w:r>
      <w:r w:rsidR="00965EC1" w:rsidRPr="00EE0B75">
        <w:rPr>
          <w:rFonts w:ascii="Trebuchet MS" w:hAnsi="Trebuchet MS"/>
          <w:color w:val="auto"/>
          <w:sz w:val="22"/>
        </w:rPr>
        <w:t xml:space="preserve">allievi dell'Accademia di Belle Arti di Napoli coordinati dall'arch. Laura Basco </w:t>
      </w:r>
      <w:r w:rsidR="00EE0B75">
        <w:rPr>
          <w:rFonts w:ascii="Trebuchet MS" w:hAnsi="Trebuchet MS"/>
          <w:color w:val="auto"/>
          <w:sz w:val="22"/>
        </w:rPr>
        <w:t>che lavoreranno al tema</w:t>
      </w:r>
      <w:proofErr w:type="gramStart"/>
      <w:r w:rsidR="00EE0B75">
        <w:rPr>
          <w:rFonts w:ascii="Trebuchet MS" w:hAnsi="Trebuchet MS"/>
          <w:color w:val="auto"/>
          <w:sz w:val="22"/>
        </w:rPr>
        <w:t xml:space="preserve"> </w:t>
      </w:r>
      <w:r w:rsidR="00EE0B75" w:rsidRPr="00EE0B75">
        <w:rPr>
          <w:rFonts w:ascii="Trebuchet MS" w:hAnsi="Trebuchet MS"/>
          <w:color w:val="auto"/>
          <w:sz w:val="22"/>
        </w:rPr>
        <w:t xml:space="preserve"> </w:t>
      </w:r>
      <w:proofErr w:type="gramEnd"/>
      <w:r w:rsidR="00965EC1" w:rsidRPr="00EE0B75">
        <w:rPr>
          <w:rFonts w:ascii="Trebuchet MS" w:hAnsi="Trebuchet MS"/>
          <w:color w:val="auto"/>
          <w:sz w:val="22"/>
        </w:rPr>
        <w:t>"appunti visivi per un etnogra</w:t>
      </w:r>
      <w:r w:rsidR="00EE0B75">
        <w:rPr>
          <w:rFonts w:ascii="Trebuchet MS" w:hAnsi="Trebuchet MS"/>
          <w:color w:val="auto"/>
          <w:sz w:val="22"/>
        </w:rPr>
        <w:t>fia del paesaggio di borgo San N</w:t>
      </w:r>
      <w:r w:rsidR="00965EC1" w:rsidRPr="00EE0B75">
        <w:rPr>
          <w:rFonts w:ascii="Trebuchet MS" w:hAnsi="Trebuchet MS"/>
          <w:color w:val="auto"/>
          <w:sz w:val="22"/>
        </w:rPr>
        <w:t>icola". </w:t>
      </w:r>
      <w:r w:rsidR="00EE0B75">
        <w:rPr>
          <w:rFonts w:ascii="Trebuchet MS" w:hAnsi="Trebuchet MS"/>
          <w:color w:val="auto"/>
          <w:sz w:val="22"/>
        </w:rPr>
        <w:t>Decideremo assieme come e se contaminare il DPP con queste riflessioni.</w:t>
      </w:r>
    </w:p>
    <w:p w:rsidR="00EE0B75" w:rsidRDefault="00EE0B75" w:rsidP="00EE0B75">
      <w:pPr>
        <w:widowControl w:val="0"/>
        <w:autoSpaceDE w:val="0"/>
        <w:autoSpaceDN w:val="0"/>
        <w:adjustRightInd w:val="0"/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  <w:r w:rsidRPr="00EE0B75">
        <w:rPr>
          <w:rFonts w:ascii="Trebuchet MS" w:hAnsi="Trebuchet MS"/>
          <w:color w:val="auto"/>
          <w:sz w:val="22"/>
        </w:rPr>
        <w:t xml:space="preserve">Gilles </w:t>
      </w:r>
      <w:proofErr w:type="spellStart"/>
      <w:r w:rsidRPr="00EE0B75">
        <w:rPr>
          <w:rFonts w:ascii="Trebuchet MS" w:hAnsi="Trebuchet MS"/>
          <w:color w:val="auto"/>
          <w:sz w:val="22"/>
        </w:rPr>
        <w:t>Clément</w:t>
      </w:r>
      <w:proofErr w:type="spellEnd"/>
      <w:r w:rsidRPr="00EE0B75">
        <w:rPr>
          <w:rFonts w:ascii="Trebuchet MS" w:hAnsi="Trebuchet MS"/>
          <w:color w:val="auto"/>
          <w:sz w:val="22"/>
        </w:rPr>
        <w:t xml:space="preserve"> lavorerà </w:t>
      </w:r>
      <w:proofErr w:type="gramStart"/>
      <w:r w:rsidRPr="00EE0B75">
        <w:rPr>
          <w:rFonts w:ascii="Trebuchet MS" w:hAnsi="Trebuchet MS"/>
          <w:color w:val="auto"/>
          <w:sz w:val="22"/>
        </w:rPr>
        <w:t>ad</w:t>
      </w:r>
      <w:proofErr w:type="gramEnd"/>
      <w:r w:rsidRPr="00EE0B75">
        <w:rPr>
          <w:rFonts w:ascii="Trebuchet MS" w:hAnsi="Trebuchet MS"/>
          <w:color w:val="auto"/>
          <w:sz w:val="22"/>
        </w:rPr>
        <w:t xml:space="preserve"> un </w:t>
      </w:r>
      <w:r w:rsidR="00965EC1" w:rsidRPr="00EE0B75">
        <w:rPr>
          <w:rFonts w:ascii="Trebuchet MS" w:hAnsi="Trebuchet MS"/>
          <w:color w:val="auto"/>
          <w:sz w:val="22"/>
        </w:rPr>
        <w:t>rilievo della diversità</w:t>
      </w:r>
      <w:r>
        <w:rPr>
          <w:rFonts w:ascii="Trebuchet MS" w:hAnsi="Trebuchet MS"/>
          <w:color w:val="auto"/>
          <w:sz w:val="22"/>
        </w:rPr>
        <w:t xml:space="preserve"> biologica del luogo </w:t>
      </w:r>
      <w:r w:rsidRPr="00EE0B75">
        <w:rPr>
          <w:rFonts w:ascii="Trebuchet MS" w:hAnsi="Trebuchet MS"/>
          <w:color w:val="auto"/>
          <w:sz w:val="22"/>
        </w:rPr>
        <w:t>da donare agli abita</w:t>
      </w:r>
      <w:r>
        <w:rPr>
          <w:rFonts w:ascii="Trebuchet MS" w:hAnsi="Trebuchet MS"/>
          <w:color w:val="auto"/>
          <w:sz w:val="22"/>
        </w:rPr>
        <w:t>nti.</w:t>
      </w:r>
    </w:p>
    <w:p w:rsidR="00EE0B75" w:rsidRDefault="00EE0B75" w:rsidP="00EE0B75">
      <w:pPr>
        <w:widowControl w:val="0"/>
        <w:autoSpaceDE w:val="0"/>
        <w:autoSpaceDN w:val="0"/>
        <w:adjustRightInd w:val="0"/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  <w:r>
        <w:rPr>
          <w:rFonts w:ascii="Trebuchet MS" w:hAnsi="Trebuchet MS"/>
          <w:color w:val="auto"/>
          <w:sz w:val="22"/>
        </w:rPr>
        <w:t xml:space="preserve">Sarà interessante fare interagire queste attività </w:t>
      </w:r>
      <w:proofErr w:type="gramStart"/>
      <w:r>
        <w:rPr>
          <w:rFonts w:ascii="Trebuchet MS" w:hAnsi="Trebuchet MS"/>
          <w:color w:val="auto"/>
          <w:sz w:val="22"/>
        </w:rPr>
        <w:t>ed</w:t>
      </w:r>
      <w:proofErr w:type="gramEnd"/>
      <w:r>
        <w:rPr>
          <w:rFonts w:ascii="Trebuchet MS" w:hAnsi="Trebuchet MS"/>
          <w:color w:val="auto"/>
          <w:sz w:val="22"/>
        </w:rPr>
        <w:t xml:space="preserve"> arricchire l’elaborazione finale con i risultati che ci regaleranno. </w:t>
      </w:r>
    </w:p>
    <w:p w:rsidR="00EE0B75" w:rsidRDefault="00EE0B75" w:rsidP="00EE0B75">
      <w:pPr>
        <w:widowControl w:val="0"/>
        <w:autoSpaceDE w:val="0"/>
        <w:autoSpaceDN w:val="0"/>
        <w:adjustRightInd w:val="0"/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</w:p>
    <w:p w:rsidR="00D10176" w:rsidRDefault="00EE0B75" w:rsidP="00EE0B75">
      <w:pPr>
        <w:widowControl w:val="0"/>
        <w:autoSpaceDE w:val="0"/>
        <w:autoSpaceDN w:val="0"/>
        <w:adjustRightInd w:val="0"/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  <w:r>
        <w:rPr>
          <w:rFonts w:ascii="Trebuchet MS" w:hAnsi="Trebuchet MS"/>
          <w:color w:val="auto"/>
          <w:sz w:val="22"/>
        </w:rPr>
        <w:t xml:space="preserve">3. </w:t>
      </w:r>
      <w:r w:rsidR="005D4520" w:rsidRPr="005D4520">
        <w:rPr>
          <w:rFonts w:ascii="Trebuchet MS" w:hAnsi="Trebuchet MS"/>
          <w:b/>
          <w:color w:val="auto"/>
          <w:sz w:val="22"/>
        </w:rPr>
        <w:t>Norme per lo sviluppo degli spazi verdi urbani.</w:t>
      </w:r>
      <w:r w:rsidR="005D4520">
        <w:rPr>
          <w:rFonts w:ascii="Trebuchet MS" w:hAnsi="Trebuchet MS"/>
          <w:color w:val="auto"/>
          <w:sz w:val="22"/>
        </w:rPr>
        <w:t xml:space="preserve"> La legge </w:t>
      </w:r>
      <w:proofErr w:type="gramStart"/>
      <w:r w:rsidR="005D4520">
        <w:rPr>
          <w:rFonts w:ascii="Trebuchet MS" w:hAnsi="Trebuchet MS"/>
          <w:color w:val="auto"/>
          <w:sz w:val="22"/>
        </w:rPr>
        <w:t>10</w:t>
      </w:r>
      <w:proofErr w:type="gramEnd"/>
      <w:r w:rsidR="005D4520">
        <w:rPr>
          <w:rFonts w:ascii="Trebuchet MS" w:hAnsi="Trebuchet MS"/>
          <w:color w:val="auto"/>
          <w:sz w:val="22"/>
        </w:rPr>
        <w:t xml:space="preserve"> del 2013</w:t>
      </w:r>
      <w:r w:rsidR="00D10176">
        <w:rPr>
          <w:rFonts w:ascii="Trebuchet MS" w:hAnsi="Trebuchet MS"/>
          <w:color w:val="auto"/>
          <w:sz w:val="22"/>
        </w:rPr>
        <w:t xml:space="preserve"> prevede che </w:t>
      </w:r>
      <w:r w:rsidR="00D10176" w:rsidRPr="00D10176">
        <w:rPr>
          <w:rFonts w:ascii="Trebuchet MS" w:hAnsi="Trebuchet MS"/>
          <w:color w:val="auto"/>
          <w:sz w:val="22"/>
        </w:rPr>
        <w:t xml:space="preserve">le regioni, le province e i comuni, ciascuno nell'ambito delle proprie competenze e delle risorse disponibili, promuovano l'incremento degli spazi verdi urbani, di «cinture verdi» intorno alle conurbazioni per delimitare gli spazi urbani, adottando misure per la formazione del personale e l'elaborazione di capitolati finalizzati alla migliore utilizzazione e manutenzione delle aree, e adottando misure volte a favorire il risparmio e l'efficienza energetica, l'assorbimento delle polveri sottili e a ridurre l'effetto «isola di calore estiva», favorendo al contempo una regolare raccolta delle acque piovane. </w:t>
      </w:r>
      <w:r w:rsidR="00D10176">
        <w:rPr>
          <w:rFonts w:ascii="Trebuchet MS" w:hAnsi="Trebuchet MS"/>
          <w:color w:val="auto"/>
          <w:sz w:val="22"/>
        </w:rPr>
        <w:t>L’esperienza dei laboratori sul terzo paesaggio, l’adozione del PPTR e la riflessione sui progetti sperimentali di</w:t>
      </w:r>
      <w:proofErr w:type="gramStart"/>
      <w:r w:rsidR="00D10176">
        <w:rPr>
          <w:rFonts w:ascii="Trebuchet MS" w:hAnsi="Trebuchet MS"/>
          <w:color w:val="auto"/>
          <w:sz w:val="22"/>
        </w:rPr>
        <w:t xml:space="preserve">  </w:t>
      </w:r>
      <w:proofErr w:type="gramEnd"/>
      <w:r w:rsidR="00D10176">
        <w:rPr>
          <w:rFonts w:ascii="Trebuchet MS" w:hAnsi="Trebuchet MS"/>
          <w:color w:val="auto"/>
          <w:sz w:val="22"/>
        </w:rPr>
        <w:t xml:space="preserve">paesaggio che costituisco un punto importante della strategia di piano, suggeriscono  una riflessione su una bozza di legge pugliese per lo sviluppo </w:t>
      </w:r>
      <w:r w:rsidR="00A807E6">
        <w:rPr>
          <w:rFonts w:ascii="Trebuchet MS" w:hAnsi="Trebuchet MS"/>
          <w:color w:val="auto"/>
          <w:sz w:val="22"/>
        </w:rPr>
        <w:t xml:space="preserve">e la gestione </w:t>
      </w:r>
      <w:r w:rsidR="00D10176">
        <w:rPr>
          <w:rFonts w:ascii="Trebuchet MS" w:hAnsi="Trebuchet MS"/>
          <w:color w:val="auto"/>
          <w:sz w:val="22"/>
        </w:rPr>
        <w:t xml:space="preserve">di spazi vedi urbani. </w:t>
      </w:r>
    </w:p>
    <w:p w:rsidR="00965EC1" w:rsidRPr="00EE0B75" w:rsidRDefault="00D10176" w:rsidP="00EE0B75">
      <w:pPr>
        <w:widowControl w:val="0"/>
        <w:autoSpaceDE w:val="0"/>
        <w:autoSpaceDN w:val="0"/>
        <w:adjustRightInd w:val="0"/>
        <w:spacing w:line="240" w:lineRule="auto"/>
        <w:ind w:left="0" w:right="0" w:firstLine="0"/>
        <w:jc w:val="both"/>
        <w:rPr>
          <w:rFonts w:ascii="Trebuchet MS" w:hAnsi="Trebuchet MS"/>
          <w:color w:val="auto"/>
          <w:sz w:val="22"/>
        </w:rPr>
      </w:pPr>
      <w:r>
        <w:rPr>
          <w:rFonts w:ascii="Trebuchet MS" w:hAnsi="Trebuchet MS"/>
          <w:color w:val="auto"/>
          <w:sz w:val="22"/>
        </w:rPr>
        <w:t>ALLEGATO</w:t>
      </w:r>
      <w:proofErr w:type="gramStart"/>
      <w:r>
        <w:rPr>
          <w:rFonts w:ascii="Trebuchet MS" w:hAnsi="Trebuchet MS"/>
          <w:color w:val="auto"/>
          <w:sz w:val="22"/>
        </w:rPr>
        <w:t xml:space="preserve"> :</w:t>
      </w:r>
      <w:proofErr w:type="gramEnd"/>
      <w:r>
        <w:rPr>
          <w:rFonts w:ascii="Trebuchet MS" w:hAnsi="Trebuchet MS"/>
          <w:color w:val="auto"/>
          <w:sz w:val="22"/>
        </w:rPr>
        <w:t xml:space="preserve"> la legge 10/2013. </w:t>
      </w:r>
    </w:p>
    <w:p w:rsidR="00965EC1" w:rsidRPr="00D10176" w:rsidRDefault="00965EC1" w:rsidP="00965EC1">
      <w:pPr>
        <w:widowControl w:val="0"/>
        <w:autoSpaceDE w:val="0"/>
        <w:autoSpaceDN w:val="0"/>
        <w:adjustRightInd w:val="0"/>
        <w:spacing w:line="240" w:lineRule="auto"/>
        <w:ind w:left="0" w:right="0" w:firstLine="0"/>
        <w:rPr>
          <w:rFonts w:ascii="Trebuchet MS" w:hAnsi="Trebuchet MS"/>
          <w:color w:val="auto"/>
          <w:sz w:val="22"/>
        </w:rPr>
      </w:pPr>
    </w:p>
    <w:p w:rsidR="00123FD5" w:rsidRDefault="00123FD5"/>
    <w:sectPr w:rsidR="00123FD5" w:rsidSect="00123F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23FD5"/>
    <w:rsid w:val="00123FD5"/>
    <w:rsid w:val="00391D05"/>
    <w:rsid w:val="0050790C"/>
    <w:rsid w:val="00570EC6"/>
    <w:rsid w:val="00580752"/>
    <w:rsid w:val="005D4520"/>
    <w:rsid w:val="007F0199"/>
    <w:rsid w:val="00965EC1"/>
    <w:rsid w:val="00A807E6"/>
    <w:rsid w:val="00B0245A"/>
    <w:rsid w:val="00CB2B87"/>
    <w:rsid w:val="00D10176"/>
    <w:rsid w:val="00EE0B7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FD5"/>
    <w:pPr>
      <w:spacing w:line="241" w:lineRule="auto"/>
      <w:ind w:left="-5" w:right="-15" w:hanging="10"/>
    </w:pPr>
    <w:rPr>
      <w:rFonts w:ascii="Cambria" w:eastAsia="Times New Roman" w:hAnsi="Cambria" w:cs="Cambria"/>
      <w:color w:val="000000"/>
      <w:sz w:val="18"/>
      <w:szCs w:val="22"/>
      <w:lang w:eastAsia="it-IT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311</Words>
  <Characters>1777</Characters>
  <Application>Microsoft Word 12.1.2</Application>
  <DocSecurity>0</DocSecurity>
  <Lines>14</Lines>
  <Paragraphs>3</Paragraphs>
  <ScaleCrop>false</ScaleCrop>
  <LinksUpToDate>false</LinksUpToDate>
  <CharactersWithSpaces>2182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</dc:creator>
  <cp:keywords/>
  <cp:lastModifiedBy>luisella</cp:lastModifiedBy>
  <cp:revision>13</cp:revision>
  <dcterms:created xsi:type="dcterms:W3CDTF">2014-11-04T21:54:00Z</dcterms:created>
  <dcterms:modified xsi:type="dcterms:W3CDTF">2014-11-04T22:41:00Z</dcterms:modified>
</cp:coreProperties>
</file>